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7FAA7" w14:textId="3C4B61F2" w:rsidR="001D4777" w:rsidRPr="001D4777" w:rsidRDefault="001D4777" w:rsidP="001D4777">
      <w:pPr>
        <w:spacing w:line="276" w:lineRule="auto"/>
        <w:rPr>
          <w:rFonts w:ascii="Arial" w:hAnsi="Arial" w:cs="Arial"/>
          <w:b/>
          <w:bCs/>
          <w:sz w:val="20"/>
          <w:szCs w:val="20"/>
        </w:rPr>
      </w:pPr>
      <w:r>
        <w:rPr>
          <w:noProof/>
        </w:rPr>
        <mc:AlternateContent>
          <mc:Choice Requires="wps">
            <w:drawing>
              <wp:anchor distT="0" distB="0" distL="114300" distR="114300" simplePos="0" relativeHeight="251659264" behindDoc="1" locked="0" layoutInCell="1" allowOverlap="1" wp14:anchorId="32F9562F" wp14:editId="45C8C77D">
                <wp:simplePos x="0" y="0"/>
                <wp:positionH relativeFrom="margin">
                  <wp:align>left</wp:align>
                </wp:positionH>
                <wp:positionV relativeFrom="paragraph">
                  <wp:posOffset>6212</wp:posOffset>
                </wp:positionV>
                <wp:extent cx="818515" cy="946150"/>
                <wp:effectExtent l="0" t="0" r="19685" b="25400"/>
                <wp:wrapTight wrapText="bothSides">
                  <wp:wrapPolygon edited="0">
                    <wp:start x="0" y="0"/>
                    <wp:lineTo x="0" y="21745"/>
                    <wp:lineTo x="21617" y="21745"/>
                    <wp:lineTo x="21617" y="0"/>
                    <wp:lineTo x="0" y="0"/>
                  </wp:wrapPolygon>
                </wp:wrapTight>
                <wp:docPr id="1916980723" name="Casella di testo 3"/>
                <wp:cNvGraphicFramePr/>
                <a:graphic xmlns:a="http://schemas.openxmlformats.org/drawingml/2006/main">
                  <a:graphicData uri="http://schemas.microsoft.com/office/word/2010/wordprocessingShape">
                    <wps:wsp>
                      <wps:cNvSpPr txBox="1"/>
                      <wps:spPr>
                        <a:xfrm>
                          <a:off x="0" y="0"/>
                          <a:ext cx="818515" cy="946150"/>
                        </a:xfrm>
                        <a:prstGeom prst="rect">
                          <a:avLst/>
                        </a:prstGeom>
                        <a:solidFill>
                          <a:schemeClr val="lt1"/>
                        </a:solidFill>
                        <a:ln w="6350">
                          <a:solidFill>
                            <a:prstClr val="black"/>
                          </a:solidFill>
                        </a:ln>
                      </wps:spPr>
                      <wps:txbx>
                        <w:txbxContent>
                          <w:p w14:paraId="30FA64C9" w14:textId="77777777" w:rsidR="001D4777" w:rsidRDefault="001D4777" w:rsidP="001D4777">
                            <w:r>
                              <w:rPr>
                                <w:noProof/>
                              </w:rPr>
                              <w:drawing>
                                <wp:inline distT="0" distB="0" distL="0" distR="0" wp14:anchorId="10F93EED" wp14:editId="44EFBDA6">
                                  <wp:extent cx="643255" cy="721360"/>
                                  <wp:effectExtent l="0" t="0" r="4445" b="2540"/>
                                  <wp:docPr id="114200837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190945" name="Immagine 2"/>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255" cy="7213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F9562F" id="_x0000_t202" coordsize="21600,21600" o:spt="202" path="m,l,21600r21600,l21600,xe">
                <v:stroke joinstyle="miter"/>
                <v:path gradientshapeok="t" o:connecttype="rect"/>
              </v:shapetype>
              <v:shape id="Casella di testo 3" o:spid="_x0000_s1026" type="#_x0000_t202" style="position:absolute;margin-left:0;margin-top:.5pt;width:64.45pt;height:74.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" fillcolor="white [3201]" strokeweight=".5pt">
                <v:textbox>
                  <w:txbxContent>
                    <w:p w14:paraId="30FA64C9" w14:textId="77777777" w:rsidR="001D4777" w:rsidRDefault="001D4777" w:rsidP="001D4777">
                      <w:r>
                        <w:rPr>
                          <w:noProof/>
                        </w:rPr>
                        <w:drawing>
                          <wp:inline distT="0" distB="0" distL="0" distR="0" wp14:anchorId="10F93EED" wp14:editId="44EFBDA6">
                            <wp:extent cx="643255" cy="721360"/>
                            <wp:effectExtent l="0" t="0" r="4445" b="2540"/>
                            <wp:docPr id="114200837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190945" name="Immagine 2"/>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255" cy="721360"/>
                                    </a:xfrm>
                                    <a:prstGeom prst="rect">
                                      <a:avLst/>
                                    </a:prstGeom>
                                    <a:noFill/>
                                    <a:ln>
                                      <a:noFill/>
                                    </a:ln>
                                  </pic:spPr>
                                </pic:pic>
                              </a:graphicData>
                            </a:graphic>
                          </wp:inline>
                        </w:drawing>
                      </w:r>
                    </w:p>
                  </w:txbxContent>
                </v:textbox>
                <w10:wrap type="tight" anchorx="margin"/>
              </v:shape>
            </w:pict>
          </mc:Fallback>
        </mc:AlternateContent>
      </w:r>
      <w:r w:rsidRPr="001D4777">
        <w:rPr>
          <w:rFonts w:ascii="Arial" w:hAnsi="Arial" w:cs="Arial"/>
          <w:b/>
          <w:bCs/>
          <w:sz w:val="20"/>
          <w:szCs w:val="20"/>
        </w:rPr>
        <w:t xml:space="preserve">COMUNE DI CANICATTINI BAGNI </w:t>
      </w:r>
    </w:p>
    <w:p w14:paraId="09B7AA7E" w14:textId="77777777" w:rsidR="001D4777" w:rsidRPr="001D4777" w:rsidRDefault="001D4777" w:rsidP="001D4777">
      <w:pPr>
        <w:spacing w:line="276" w:lineRule="auto"/>
        <w:rPr>
          <w:rFonts w:ascii="Arial" w:hAnsi="Arial" w:cs="Arial"/>
          <w:b/>
          <w:bCs/>
          <w:sz w:val="20"/>
          <w:szCs w:val="20"/>
        </w:rPr>
      </w:pPr>
      <w:r w:rsidRPr="001D4777">
        <w:rPr>
          <w:rFonts w:ascii="Arial" w:hAnsi="Arial" w:cs="Arial"/>
          <w:b/>
          <w:bCs/>
          <w:sz w:val="20"/>
          <w:szCs w:val="20"/>
        </w:rPr>
        <w:t>Via XX Settembre 42, 96010, Canicattini Bagni (Sr)</w:t>
      </w:r>
    </w:p>
    <w:p w14:paraId="661464BC" w14:textId="09A7E8FD" w:rsidR="001D4777" w:rsidRPr="001D4777" w:rsidRDefault="001D4777" w:rsidP="001D4777">
      <w:pPr>
        <w:spacing w:line="276" w:lineRule="auto"/>
        <w:rPr>
          <w:rFonts w:ascii="Arial" w:hAnsi="Arial" w:cs="Arial"/>
          <w:b/>
          <w:bCs/>
          <w:sz w:val="20"/>
          <w:szCs w:val="20"/>
        </w:rPr>
      </w:pPr>
      <w:hyperlink r:id="rId5" w:history="1">
        <w:r w:rsidRPr="00E970AE">
          <w:rPr>
            <w:rStyle w:val="Collegamentoipertestuale"/>
            <w:rFonts w:ascii="Arial" w:hAnsi="Arial" w:cs="Arial"/>
            <w:b/>
            <w:bCs/>
            <w:sz w:val="20"/>
            <w:szCs w:val="20"/>
          </w:rPr>
          <w:t>info@comune.canicattinibagni.sr.it</w:t>
        </w:r>
      </w:hyperlink>
      <w:r>
        <w:rPr>
          <w:rFonts w:ascii="Arial" w:hAnsi="Arial" w:cs="Arial"/>
          <w:b/>
          <w:bCs/>
          <w:sz w:val="20"/>
          <w:szCs w:val="20"/>
        </w:rPr>
        <w:t xml:space="preserve"> </w:t>
      </w:r>
    </w:p>
    <w:p w14:paraId="37696CA5" w14:textId="78CF2937" w:rsidR="001D4777" w:rsidRPr="001D4777" w:rsidRDefault="001D4777" w:rsidP="001D4777">
      <w:pPr>
        <w:spacing w:line="276" w:lineRule="auto"/>
        <w:rPr>
          <w:rFonts w:ascii="Arial" w:hAnsi="Arial" w:cs="Arial"/>
          <w:b/>
          <w:bCs/>
          <w:sz w:val="20"/>
          <w:szCs w:val="20"/>
        </w:rPr>
      </w:pPr>
      <w:hyperlink r:id="rId6" w:history="1">
        <w:r w:rsidRPr="00E970AE">
          <w:rPr>
            <w:rStyle w:val="Collegamentoipertestuale"/>
            <w:rFonts w:ascii="Arial" w:hAnsi="Arial" w:cs="Arial"/>
            <w:b/>
            <w:bCs/>
            <w:sz w:val="20"/>
            <w:szCs w:val="20"/>
          </w:rPr>
          <w:t>comune.canicattinibagni@pec.it</w:t>
        </w:r>
      </w:hyperlink>
      <w:r>
        <w:rPr>
          <w:rFonts w:ascii="Arial" w:hAnsi="Arial" w:cs="Arial"/>
          <w:b/>
          <w:bCs/>
          <w:sz w:val="20"/>
          <w:szCs w:val="20"/>
        </w:rPr>
        <w:t xml:space="preserve"> </w:t>
      </w:r>
    </w:p>
    <w:p w14:paraId="6279C271" w14:textId="77777777" w:rsidR="001D4777" w:rsidRPr="001D4777" w:rsidRDefault="001D4777" w:rsidP="001D4777">
      <w:pPr>
        <w:spacing w:line="276" w:lineRule="auto"/>
        <w:rPr>
          <w:rFonts w:ascii="Arial" w:hAnsi="Arial" w:cs="Arial"/>
          <w:sz w:val="20"/>
          <w:szCs w:val="20"/>
        </w:rPr>
      </w:pPr>
    </w:p>
    <w:p w14:paraId="74255458" w14:textId="77777777" w:rsidR="001D4777" w:rsidRPr="001D4777" w:rsidRDefault="001D4777" w:rsidP="001D4777">
      <w:pPr>
        <w:spacing w:line="276" w:lineRule="auto"/>
        <w:rPr>
          <w:rFonts w:ascii="Arial" w:hAnsi="Arial" w:cs="Arial"/>
          <w:b/>
          <w:bCs/>
          <w:sz w:val="20"/>
          <w:szCs w:val="20"/>
        </w:rPr>
      </w:pPr>
      <w:r w:rsidRPr="001D4777">
        <w:rPr>
          <w:rFonts w:ascii="Arial" w:hAnsi="Arial" w:cs="Arial"/>
          <w:b/>
          <w:bCs/>
          <w:sz w:val="20"/>
          <w:szCs w:val="20"/>
        </w:rPr>
        <w:t xml:space="preserve">OGGETTO: Condizioni del servizio </w:t>
      </w:r>
    </w:p>
    <w:p w14:paraId="43AAC67D" w14:textId="77777777" w:rsidR="001D4777" w:rsidRPr="001D4777" w:rsidRDefault="001D4777" w:rsidP="001D4777">
      <w:pPr>
        <w:spacing w:line="276" w:lineRule="auto"/>
        <w:jc w:val="both"/>
        <w:rPr>
          <w:rFonts w:ascii="Arial" w:hAnsi="Arial" w:cs="Arial"/>
          <w:sz w:val="20"/>
          <w:szCs w:val="20"/>
        </w:rPr>
      </w:pPr>
      <w:r w:rsidRPr="001D4777">
        <w:rPr>
          <w:rFonts w:ascii="Arial" w:hAnsi="Arial" w:cs="Arial"/>
          <w:sz w:val="20"/>
          <w:szCs w:val="20"/>
        </w:rPr>
        <w:t xml:space="preserve">Il servizio è gestito dal Comune di Canicattini Bagni attraverso la piattaforma web denominata Stanza del Cittadino. La piattaforma consente, dopo una fase di autenticazione, di accedere a servizi digitali erogati dal Comune. </w:t>
      </w:r>
    </w:p>
    <w:p w14:paraId="15D415B5" w14:textId="77777777" w:rsidR="001D4777" w:rsidRPr="001D4777" w:rsidRDefault="001D4777" w:rsidP="001D4777">
      <w:pPr>
        <w:spacing w:line="276" w:lineRule="auto"/>
        <w:jc w:val="both"/>
        <w:rPr>
          <w:rFonts w:ascii="Arial" w:hAnsi="Arial" w:cs="Arial"/>
          <w:sz w:val="20"/>
          <w:szCs w:val="20"/>
        </w:rPr>
      </w:pPr>
      <w:r w:rsidRPr="001D4777">
        <w:rPr>
          <w:rFonts w:ascii="Arial" w:hAnsi="Arial" w:cs="Arial"/>
          <w:sz w:val="20"/>
          <w:szCs w:val="20"/>
        </w:rPr>
        <w:t>Ogni cittadino residente nel Comune di Canicattini Bagni può accedere alla propria area personale per inserire nuove richieste e/o avere visibilità di tutte le pratiche precedentemente inoltrate, con lo stato di avanzamento di ognuna di esse.</w:t>
      </w:r>
    </w:p>
    <w:p w14:paraId="46C78BDE" w14:textId="77777777" w:rsidR="001D4777" w:rsidRPr="001D4777" w:rsidRDefault="001D4777" w:rsidP="001D4777">
      <w:pPr>
        <w:spacing w:line="276" w:lineRule="auto"/>
        <w:jc w:val="both"/>
        <w:rPr>
          <w:rFonts w:ascii="Arial" w:hAnsi="Arial" w:cs="Arial"/>
          <w:sz w:val="20"/>
          <w:szCs w:val="20"/>
        </w:rPr>
      </w:pPr>
      <w:r w:rsidRPr="001D4777">
        <w:rPr>
          <w:rFonts w:ascii="Arial" w:hAnsi="Arial" w:cs="Arial"/>
          <w:sz w:val="20"/>
          <w:szCs w:val="20"/>
        </w:rPr>
        <w:t>I servizi possono avere una risposta sia in forma digitale che in forma fisica a seconda della natura del servizio stesso o della scelta del tipo di documento da produrre.</w:t>
      </w:r>
    </w:p>
    <w:p w14:paraId="704DAC19" w14:textId="77777777" w:rsidR="001D4777" w:rsidRPr="001D4777" w:rsidRDefault="001D4777" w:rsidP="001D4777">
      <w:pPr>
        <w:spacing w:line="276" w:lineRule="auto"/>
        <w:jc w:val="both"/>
        <w:rPr>
          <w:rFonts w:ascii="Arial" w:hAnsi="Arial" w:cs="Arial"/>
          <w:sz w:val="20"/>
          <w:szCs w:val="20"/>
        </w:rPr>
      </w:pPr>
      <w:r w:rsidRPr="001D4777">
        <w:rPr>
          <w:rFonts w:ascii="Arial" w:hAnsi="Arial" w:cs="Arial"/>
          <w:sz w:val="20"/>
          <w:szCs w:val="20"/>
        </w:rPr>
        <w:t>Per ogni servizio verrà indicata un tempo massimo per la sua erogazione o per ricevere una risposta.</w:t>
      </w:r>
    </w:p>
    <w:p w14:paraId="40F025C6" w14:textId="77777777" w:rsidR="001D4777" w:rsidRPr="001D4777" w:rsidRDefault="001D4777" w:rsidP="001D4777">
      <w:pPr>
        <w:spacing w:line="276" w:lineRule="auto"/>
        <w:jc w:val="both"/>
        <w:rPr>
          <w:rFonts w:ascii="Arial" w:hAnsi="Arial" w:cs="Arial"/>
          <w:sz w:val="20"/>
          <w:szCs w:val="20"/>
        </w:rPr>
      </w:pPr>
      <w:r w:rsidRPr="001D4777">
        <w:rPr>
          <w:rFonts w:ascii="Arial" w:hAnsi="Arial" w:cs="Arial"/>
          <w:sz w:val="20"/>
          <w:szCs w:val="20"/>
        </w:rPr>
        <w:t>Per accedere al servizio è necessario dotarsi di SPID (Sistema Pubblico di Identità Digitale) oppure di CIE (Carta d'identità elettronica), tuttavia in questo ultimo caso potrebbe essere necessario dotarsi di un lettore di Carte d'identità da collegare al proprio computer.</w:t>
      </w:r>
    </w:p>
    <w:p w14:paraId="344C3E94" w14:textId="3C372F17" w:rsidR="001D4777" w:rsidRPr="001D4777" w:rsidRDefault="001D4777" w:rsidP="001D4777">
      <w:pPr>
        <w:spacing w:line="276" w:lineRule="auto"/>
        <w:jc w:val="both"/>
        <w:rPr>
          <w:rFonts w:ascii="Arial" w:hAnsi="Arial" w:cs="Arial"/>
          <w:sz w:val="20"/>
          <w:szCs w:val="20"/>
        </w:rPr>
      </w:pPr>
      <w:r w:rsidRPr="001D4777">
        <w:rPr>
          <w:rFonts w:ascii="Arial" w:hAnsi="Arial" w:cs="Arial"/>
          <w:sz w:val="20"/>
          <w:szCs w:val="20"/>
        </w:rPr>
        <w:t>La compilazione di ogni nuova domanda è subordinata all'accettazione del trattamento dei dati</w:t>
      </w:r>
      <w:r>
        <w:rPr>
          <w:rFonts w:ascii="Arial" w:hAnsi="Arial" w:cs="Arial"/>
          <w:sz w:val="20"/>
          <w:szCs w:val="20"/>
        </w:rPr>
        <w:t xml:space="preserve"> </w:t>
      </w:r>
      <w:r w:rsidRPr="001D4777">
        <w:rPr>
          <w:rFonts w:ascii="Arial" w:hAnsi="Arial" w:cs="Arial"/>
          <w:sz w:val="20"/>
          <w:szCs w:val="20"/>
        </w:rPr>
        <w:t>personali.</w:t>
      </w:r>
    </w:p>
    <w:p w14:paraId="435F7DF1" w14:textId="77777777" w:rsidR="001D4777" w:rsidRPr="001D4777" w:rsidRDefault="001D4777" w:rsidP="001D4777">
      <w:pPr>
        <w:spacing w:line="276" w:lineRule="auto"/>
        <w:jc w:val="both"/>
        <w:rPr>
          <w:rFonts w:ascii="Arial" w:hAnsi="Arial" w:cs="Arial"/>
          <w:b/>
          <w:bCs/>
          <w:color w:val="4472C4" w:themeColor="accent1"/>
          <w:sz w:val="20"/>
          <w:szCs w:val="20"/>
        </w:rPr>
      </w:pPr>
      <w:r w:rsidRPr="001D4777">
        <w:rPr>
          <w:rFonts w:ascii="Arial" w:hAnsi="Arial" w:cs="Arial"/>
          <w:b/>
          <w:bCs/>
          <w:color w:val="4472C4" w:themeColor="accent1"/>
          <w:sz w:val="20"/>
          <w:szCs w:val="20"/>
        </w:rPr>
        <w:t>I servizi</w:t>
      </w:r>
    </w:p>
    <w:p w14:paraId="416F55C0" w14:textId="77777777" w:rsidR="001D4777" w:rsidRPr="001D4777" w:rsidRDefault="001D4777" w:rsidP="001D4777">
      <w:pPr>
        <w:spacing w:line="276" w:lineRule="auto"/>
        <w:jc w:val="both"/>
        <w:rPr>
          <w:rFonts w:ascii="Arial" w:hAnsi="Arial" w:cs="Arial"/>
          <w:sz w:val="20"/>
          <w:szCs w:val="20"/>
        </w:rPr>
      </w:pPr>
      <w:r w:rsidRPr="001D4777">
        <w:rPr>
          <w:rFonts w:ascii="Arial" w:hAnsi="Arial" w:cs="Arial"/>
          <w:sz w:val="20"/>
          <w:szCs w:val="20"/>
        </w:rPr>
        <w:t>I servizi messi a disposizione dall’Ente sono descritti attraverso delle pagine dedicate (“schede servizio”) disponibili nella sezione “Servizi” del sito dell’ente. Nei casi in cui il servizio sia fruibile in modalità digitale la scheda mette a disposizione un link “Accedi al servizio”; nei casi in cui il servizio sia fruibile allo sportello comunale mediante appuntamento la scheda mette a disposizione il link “Prenota appuntamento”. Ciascuna scheda riporta sempre i riferimenti dell’ufficio responsabile del servizio, con indicazione della sede, dei contatti e degli orari di apertura al pubblico.</w:t>
      </w:r>
    </w:p>
    <w:p w14:paraId="6739805D" w14:textId="77777777" w:rsidR="001D4777" w:rsidRPr="001D4777" w:rsidRDefault="001D4777" w:rsidP="001D4777">
      <w:pPr>
        <w:spacing w:line="276" w:lineRule="auto"/>
        <w:jc w:val="both"/>
        <w:rPr>
          <w:rFonts w:ascii="Arial" w:hAnsi="Arial" w:cs="Arial"/>
          <w:b/>
          <w:bCs/>
          <w:color w:val="4472C4" w:themeColor="accent1"/>
          <w:sz w:val="20"/>
          <w:szCs w:val="20"/>
        </w:rPr>
      </w:pPr>
      <w:r w:rsidRPr="001D4777">
        <w:rPr>
          <w:rFonts w:ascii="Arial" w:hAnsi="Arial" w:cs="Arial"/>
          <w:b/>
          <w:bCs/>
          <w:color w:val="4472C4" w:themeColor="accent1"/>
          <w:sz w:val="20"/>
          <w:szCs w:val="20"/>
        </w:rPr>
        <w:t>Trattamento dati personali</w:t>
      </w:r>
    </w:p>
    <w:p w14:paraId="23FE52EB" w14:textId="77777777" w:rsidR="001D4777" w:rsidRPr="001D4777" w:rsidRDefault="001D4777" w:rsidP="001D4777">
      <w:pPr>
        <w:spacing w:line="276" w:lineRule="auto"/>
        <w:jc w:val="both"/>
        <w:rPr>
          <w:rFonts w:ascii="Arial" w:hAnsi="Arial" w:cs="Arial"/>
          <w:sz w:val="20"/>
          <w:szCs w:val="20"/>
        </w:rPr>
      </w:pPr>
      <w:r w:rsidRPr="001D4777">
        <w:rPr>
          <w:rFonts w:ascii="Arial" w:hAnsi="Arial" w:cs="Arial"/>
          <w:sz w:val="20"/>
          <w:szCs w:val="20"/>
        </w:rPr>
        <w:t>Un servizio è sempre corredato da una informativa privacy che descrive le finalità e le modalità di trattamento e protezione dei dati personali raccolti e gestiti per l’esecuzione di un servizio.</w:t>
      </w:r>
    </w:p>
    <w:p w14:paraId="4D52C5F1" w14:textId="77777777" w:rsidR="001D4777" w:rsidRPr="001D4777" w:rsidRDefault="001D4777" w:rsidP="001D4777">
      <w:pPr>
        <w:spacing w:line="276" w:lineRule="auto"/>
        <w:jc w:val="both"/>
        <w:rPr>
          <w:rFonts w:ascii="Arial" w:hAnsi="Arial" w:cs="Arial"/>
          <w:b/>
          <w:bCs/>
          <w:color w:val="4472C4" w:themeColor="accent1"/>
          <w:sz w:val="20"/>
          <w:szCs w:val="20"/>
        </w:rPr>
      </w:pPr>
      <w:r w:rsidRPr="001D4777">
        <w:rPr>
          <w:rFonts w:ascii="Arial" w:hAnsi="Arial" w:cs="Arial"/>
          <w:b/>
          <w:bCs/>
          <w:color w:val="4472C4" w:themeColor="accent1"/>
          <w:sz w:val="20"/>
          <w:szCs w:val="20"/>
        </w:rPr>
        <w:t>Costi del servizio</w:t>
      </w:r>
    </w:p>
    <w:p w14:paraId="7B8084F1" w14:textId="77777777" w:rsidR="001D4777" w:rsidRPr="001D4777" w:rsidRDefault="001D4777" w:rsidP="001D4777">
      <w:pPr>
        <w:spacing w:line="276" w:lineRule="auto"/>
        <w:jc w:val="both"/>
        <w:rPr>
          <w:rFonts w:ascii="Arial" w:hAnsi="Arial" w:cs="Arial"/>
          <w:sz w:val="20"/>
          <w:szCs w:val="20"/>
        </w:rPr>
      </w:pPr>
      <w:r w:rsidRPr="001D4777">
        <w:rPr>
          <w:rFonts w:ascii="Arial" w:hAnsi="Arial" w:cs="Arial"/>
          <w:sz w:val="20"/>
          <w:szCs w:val="20"/>
        </w:rPr>
        <w:t>Alcuni servizi hanno carattere gratuito, altri prevedono costi o imposte associate al servizio come indicato nella scheda servizio (“Costi”). In questo caso possono prevedere forme di agevolazione o di esenzione, anch’esse riportate nella scheda del servizio. In altri casi un servizio può comportare l’accredito di importi secondo le procedure e le modalità definite.</w:t>
      </w:r>
    </w:p>
    <w:p w14:paraId="0C78FBF4" w14:textId="77777777" w:rsidR="001D4777" w:rsidRPr="001D4777" w:rsidRDefault="001D4777" w:rsidP="001D4777">
      <w:pPr>
        <w:spacing w:line="276" w:lineRule="auto"/>
        <w:jc w:val="both"/>
        <w:rPr>
          <w:rFonts w:ascii="Arial" w:hAnsi="Arial" w:cs="Arial"/>
          <w:b/>
          <w:bCs/>
          <w:color w:val="4472C4" w:themeColor="accent1"/>
          <w:sz w:val="20"/>
          <w:szCs w:val="20"/>
        </w:rPr>
      </w:pPr>
      <w:r w:rsidRPr="001D4777">
        <w:rPr>
          <w:rFonts w:ascii="Arial" w:hAnsi="Arial" w:cs="Arial"/>
          <w:b/>
          <w:bCs/>
          <w:color w:val="4472C4" w:themeColor="accent1"/>
          <w:sz w:val="20"/>
          <w:szCs w:val="20"/>
        </w:rPr>
        <w:t>Funzionamento del servizio</w:t>
      </w:r>
    </w:p>
    <w:p w14:paraId="1866706C" w14:textId="77777777" w:rsidR="001D4777" w:rsidRPr="001D4777" w:rsidRDefault="001D4777" w:rsidP="001D4777">
      <w:pPr>
        <w:spacing w:line="276" w:lineRule="auto"/>
        <w:jc w:val="both"/>
        <w:rPr>
          <w:rFonts w:ascii="Arial" w:hAnsi="Arial" w:cs="Arial"/>
          <w:sz w:val="20"/>
          <w:szCs w:val="20"/>
        </w:rPr>
      </w:pPr>
      <w:r w:rsidRPr="001D4777">
        <w:rPr>
          <w:rFonts w:ascii="Arial" w:hAnsi="Arial" w:cs="Arial"/>
          <w:sz w:val="20"/>
          <w:szCs w:val="20"/>
        </w:rPr>
        <w:t>La richiesta dei servizi può essere fatta direttamente dal beneficiario o - nei casi previsti - mediante delega. Le modalità di funzionamento di ciascun servizio e dei relativi procedimenti amministrativi sono realizzate nel rispetto della normativa e sono descritte nella scheda del servizio, che riporta indicazioni sugli utenti destinatari del servizio (“A chi è rivolto”), sulle modalità di fruizione (“Come fare”), sulle condizioni di accesso al servizio</w:t>
      </w:r>
    </w:p>
    <w:p w14:paraId="3A688940" w14:textId="77777777" w:rsidR="00B95FFE" w:rsidRPr="001D4777" w:rsidRDefault="00B95FFE" w:rsidP="001D4777">
      <w:pPr>
        <w:spacing w:line="276" w:lineRule="auto"/>
        <w:jc w:val="both"/>
        <w:rPr>
          <w:rFonts w:ascii="Arial" w:hAnsi="Arial" w:cs="Arial"/>
          <w:sz w:val="20"/>
          <w:szCs w:val="20"/>
        </w:rPr>
      </w:pPr>
    </w:p>
    <w:sectPr w:rsidR="00B95FFE" w:rsidRPr="001D47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77"/>
    <w:rsid w:val="001D4777"/>
    <w:rsid w:val="005B30C0"/>
    <w:rsid w:val="00B95F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F955B"/>
  <w15:chartTrackingRefBased/>
  <w15:docId w15:val="{242460C7-62E0-412E-8A2D-6D06A468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D4777"/>
    <w:rPr>
      <w:color w:val="0563C1" w:themeColor="hyperlink"/>
      <w:u w:val="single"/>
    </w:rPr>
  </w:style>
  <w:style w:type="character" w:styleId="Menzionenonrisolta">
    <w:name w:val="Unresolved Mention"/>
    <w:basedOn w:val="Carpredefinitoparagrafo"/>
    <w:uiPriority w:val="99"/>
    <w:semiHidden/>
    <w:unhideWhenUsed/>
    <w:rsid w:val="001D4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une.canicattinibagni@pec.it" TargetMode="External"/><Relationship Id="rId5" Type="http://schemas.openxmlformats.org/officeDocument/2006/relationships/hyperlink" Target="mailto:info@comune.canicattinibagni.sr.i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Agusta</dc:creator>
  <cp:keywords/>
  <dc:description/>
  <cp:lastModifiedBy>Roberto Agusta</cp:lastModifiedBy>
  <cp:revision>1</cp:revision>
  <dcterms:created xsi:type="dcterms:W3CDTF">2024-04-22T09:46:00Z</dcterms:created>
  <dcterms:modified xsi:type="dcterms:W3CDTF">2024-04-22T09:51:00Z</dcterms:modified>
</cp:coreProperties>
</file>